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571E" w14:textId="6FDC8317" w:rsidR="00406F96" w:rsidRPr="000932B8" w:rsidRDefault="00BE3E0F" w:rsidP="00406F96">
      <w:pPr>
        <w:pStyle w:val="berschrift-H2"/>
        <w:rPr>
          <w:lang w:val="en-GB"/>
        </w:rPr>
      </w:pPr>
      <w:r>
        <w:rPr>
          <w:noProof/>
        </w:rPr>
        <mc:AlternateContent>
          <mc:Choice Requires="wps">
            <w:drawing>
              <wp:anchor distT="0" distB="0" distL="114300" distR="114300" simplePos="0" relativeHeight="251718656" behindDoc="0" locked="0" layoutInCell="1" allowOverlap="1" wp14:anchorId="63C54ECB" wp14:editId="6C3607F7">
                <wp:simplePos x="0" y="0"/>
                <wp:positionH relativeFrom="margin">
                  <wp:posOffset>-72390</wp:posOffset>
                </wp:positionH>
                <wp:positionV relativeFrom="paragraph">
                  <wp:posOffset>-718820</wp:posOffset>
                </wp:positionV>
                <wp:extent cx="3677920" cy="687705"/>
                <wp:effectExtent l="0" t="0" r="0" b="0"/>
                <wp:wrapNone/>
                <wp:docPr id="108083660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77920" cy="687705"/>
                        </a:xfrm>
                        <a:prstGeom prst="rect">
                          <a:avLst/>
                        </a:prstGeom>
                        <a:solidFill>
                          <a:schemeClr val="lt1"/>
                        </a:solidFill>
                        <a:ln w="6350">
                          <a:noFill/>
                        </a:ln>
                      </wps:spPr>
                      <wps:txbx>
                        <w:txbxContent>
                          <w:p w14:paraId="605933FA" w14:textId="3C4FB935" w:rsidR="00406F96" w:rsidRPr="00406F96" w:rsidRDefault="00406F96" w:rsidP="00406F96">
                            <w:pPr>
                              <w:rPr>
                                <w:lang w:val="en-GB"/>
                              </w:rPr>
                            </w:pPr>
                            <w:r>
                              <w:rPr>
                                <w:lang w:val="en-GB"/>
                              </w:rPr>
                              <w:t>Rittal and Eplan at the SPS 2024</w:t>
                            </w:r>
                          </w:p>
                          <w:p w14:paraId="592BE85E" w14:textId="77777777" w:rsidR="00406F96" w:rsidRDefault="00406F96" w:rsidP="00406F96">
                            <w:r>
                              <w:rPr>
                                <w:lang w:val="en-GB"/>
                              </w:rPr>
                              <w:t>12 to 14 November in Nuremberg</w:t>
                            </w:r>
                          </w:p>
                          <w:p w14:paraId="047E433B" w14:textId="77777777" w:rsidR="00406F96" w:rsidRDefault="00406F96" w:rsidP="00406F96">
                            <w:r>
                              <w:rPr>
                                <w:lang w:val="en-GB"/>
                              </w:rPr>
                              <w:t>Halle 3C, Booth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3C54ECB" id="_x0000_t202" coordsize="21600,21600" o:spt="202" path="m,l,21600r21600,l21600,xe">
                <v:stroke joinstyle="miter"/>
                <v:path gradientshapeok="t" o:connecttype="rect"/>
              </v:shapetype>
              <v:shape id="Textfeld 1" o:spid="_x0000_s1026" type="#_x0000_t202" style="position:absolute;margin-left:-5.7pt;margin-top:-56.6pt;width:289.6pt;height:54.1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SJNwIAAG0EAAAOAAAAZHJzL2Uyb0RvYy54bWysVE1v2zAMvQ/YfxB0X+yk+WiNOEWWIsOA&#10;oC2QDj0rshQbk0VNUmJ3v36U7Hys22nYRaZEitTje/T8vq0VOQrrKtA5HQ5SSoTmUFR6n9NvL+tP&#10;t5Q4z3TBFGiR0zfh6P3i44d5YzIxghJUISzBJNpljclp6b3JksTxUtTMDcAIjU4JtmYet3afFJY1&#10;mL1WyShNp0kDtjAWuHAOTx86J13E/FIK7p+kdMITlVN8m4+rjesurMlizrK9ZaaseP8M9g+vqFml&#10;seg51QPzjBxs9UequuIWHEg/4FAnIGXFRcSAaIbpOzTbkhkRsWBznDm3yf2/tPzxuDXPlvj2M7RI&#10;YAThzAb4d4e9SRrjsj4m9NRlDqMD0FbaOnwRAsGL2Nu3cz9F6wnHw5vpbHY3QhdH3/R2NksnoeHJ&#10;5baxzn8RUJNg5NQiX/EF7Lhxvgs9hYRiDlRVrCul4iZoRKyUJUeG7Co/7JP/FqU0abD4zSSNiTWE&#10;611mpXuAHaaAzre7Fp3B3EHxho2x0GnGGb6u8JEb5vwzsygSxIXC90+4SAVYBHqLkhLsz7+dh3jk&#10;Dr2UNCi6nLofB2YFJeqrRlbvhuNxUGncjCez0Dt77dlde/ShXgEiH+KIGR7NEO/VyZQW6lecj2Wo&#10;ii6mOdbOqT+ZK9+NAs4XF8tlDEJdGuY3emv4SQ+Bgpf2lVnT8+SR4Uc4yZNl7+jqYgNHGpYHD7KK&#10;XF662vcdNR3V0M9fGJrrfYy6/CUWvwAAAP//AwBQSwMEFAAGAAgAAAAhAPOCupfiAAAACwEAAA8A&#10;AABkcnMvZG93bnJldi54bWxMj0tPwzAQhO9I/Adrkbig1knTB4Q4FUJAJW40PMTNjZckIl5HsZuE&#10;f8/CBW67O6PZb7LtZFsxYO8bRwrieQQCqXSmoUrBc3E/uwThgyajW0eo4As9bPPTk0ynxo30hMM+&#10;VIJDyKdaQR1Cl0rpyxqt9nPXIbH24XqrA699JU2vRw63rVxE0Vpa3RB/qHWHtzWWn/ujVfB+Ub09&#10;+unhZUxWSXe3G4rNqymUOj+bbq5BBJzCnxl+8BkdcmY6uCMZL1oFszhesvV3SBYg2LJab7jNgU/L&#10;K5B5Jv93yL8BAAD//wMAUEsBAi0AFAAGAAgAAAAhALaDOJL+AAAA4QEAABMAAAAAAAAAAAAAAAAA&#10;AAAAAFtDb250ZW50X1R5cGVzXS54bWxQSwECLQAUAAYACAAAACEAOP0h/9YAAACUAQAACwAAAAAA&#10;AAAAAAAAAAAvAQAAX3JlbHMvLnJlbHNQSwECLQAUAAYACAAAACEABXMkiTcCAABtBAAADgAAAAAA&#10;AAAAAAAAAAAuAgAAZHJzL2Uyb0RvYy54bWxQSwECLQAUAAYACAAAACEA84K6l+IAAAALAQAADwAA&#10;AAAAAAAAAAAAAACRBAAAZHJzL2Rvd25yZXYueG1sUEsFBgAAAAAEAAQA8wAAAKAFAAAAAA==&#10;" fillcolor="white [3201]" stroked="f" strokeweight=".5pt">
                <v:textbox>
                  <w:txbxContent>
                    <w:p w14:paraId="605933FA" w14:textId="3C4FB935" w:rsidR="00406F96" w:rsidRPr="00406F96" w:rsidRDefault="00406F96" w:rsidP="00406F96">
                      <w:pPr>
                        <w:rPr>
                          <w:lang w:val="en-GB"/>
                        </w:rPr>
                      </w:pPr>
                      <w:r>
                        <w:rPr>
                          <w:lang w:val="en-GB"/>
                        </w:rPr>
                        <w:t>Rittal and Eplan at the SPS 2024</w:t>
                      </w:r>
                    </w:p>
                    <w:p w14:paraId="592BE85E" w14:textId="77777777" w:rsidR="00406F96" w:rsidRDefault="00406F96" w:rsidP="00406F96">
                      <w:r>
                        <w:rPr>
                          <w:lang w:val="en-GB"/>
                        </w:rPr>
                        <w:t>12 to 14 November in Nuremberg</w:t>
                      </w:r>
                    </w:p>
                    <w:p w14:paraId="047E433B" w14:textId="77777777" w:rsidR="00406F96" w:rsidRDefault="00406F96" w:rsidP="00406F96">
                      <w:r>
                        <w:rPr>
                          <w:lang w:val="en-GB"/>
                        </w:rPr>
                        <w:t>Halle 3C, Booth 321</w:t>
                      </w:r>
                    </w:p>
                  </w:txbxContent>
                </v:textbox>
                <w10:wrap anchorx="margin"/>
              </v:shape>
            </w:pict>
          </mc:Fallback>
        </mc:AlternateContent>
      </w:r>
      <w:r w:rsidR="00406F96">
        <w:rPr>
          <w:bCs w:val="0"/>
          <w:lang w:val="en-GB"/>
        </w:rPr>
        <w:t>Blue e+ dynamic cooling units from Rittal</w:t>
      </w:r>
    </w:p>
    <w:p w14:paraId="789FFA07" w14:textId="77777777" w:rsidR="00406F96" w:rsidRPr="000932B8" w:rsidRDefault="00406F96" w:rsidP="00406F96">
      <w:pPr>
        <w:pStyle w:val="berschrift-H1"/>
        <w:rPr>
          <w:lang w:val="en-GB"/>
        </w:rPr>
      </w:pPr>
      <w:r>
        <w:rPr>
          <w:lang w:val="en-GB"/>
        </w:rPr>
        <w:t>Rittal cooling units are now seaworthy</w:t>
      </w:r>
    </w:p>
    <w:p w14:paraId="2C47E078" w14:textId="16391E41" w:rsidR="00406F96" w:rsidRPr="000932B8" w:rsidRDefault="00406F96" w:rsidP="00406F96">
      <w:pPr>
        <w:pStyle w:val="Ort-Datum"/>
        <w:rPr>
          <w:lang w:val="en-GB"/>
        </w:rPr>
      </w:pPr>
      <w:r>
        <w:rPr>
          <w:bCs w:val="0"/>
          <w:lang w:val="en-GB"/>
        </w:rPr>
        <w:t xml:space="preserve">Herborn, </w:t>
      </w:r>
      <w:r w:rsidR="00160CC5">
        <w:rPr>
          <w:bCs w:val="0"/>
          <w:lang w:val="en-GB"/>
        </w:rPr>
        <w:t>2024-11-13</w:t>
      </w:r>
    </w:p>
    <w:p w14:paraId="5C7B343C" w14:textId="0F5914D0" w:rsidR="00406F96" w:rsidRPr="000932B8" w:rsidRDefault="00406F96" w:rsidP="00406F96">
      <w:pPr>
        <w:pStyle w:val="Copytext"/>
        <w:rPr>
          <w:b/>
          <w:bCs w:val="0"/>
          <w:lang w:val="en-GB"/>
        </w:rPr>
      </w:pPr>
      <w:r>
        <w:rPr>
          <w:b/>
          <w:lang w:val="en-GB"/>
        </w:rPr>
        <w:t>Rittal has further improved its Blue e+ series cooling units to deal with the dynamic loads experienced on the high seas. For the first time, the manufacturer now includes DNV-tested cooling units for maritime applications in its product portfolio under the name Blue e+ dynamic. In addition to the usual EMC compatibility testing for ships, the units</w:t>
      </w:r>
      <w:r w:rsidR="00792A27">
        <w:rPr>
          <w:b/>
          <w:lang w:val="en-GB"/>
        </w:rPr>
        <w:t>’</w:t>
      </w:r>
      <w:r>
        <w:rPr>
          <w:b/>
          <w:lang w:val="en-GB"/>
        </w:rPr>
        <w:t xml:space="preserve"> vibration resistance and safe operation when tilted were also tested. Testing in accordance with the DNV CG 0339 (Class A) standard ensures that energy-efficient appliances cool safely and reliably, even when subjected to high dynamic loads.</w:t>
      </w:r>
    </w:p>
    <w:p w14:paraId="7D8FB710" w14:textId="77777777" w:rsidR="00406F96" w:rsidRPr="000932B8" w:rsidRDefault="00406F96" w:rsidP="00406F96">
      <w:pPr>
        <w:pStyle w:val="Copytext"/>
        <w:rPr>
          <w:b/>
          <w:bCs w:val="0"/>
          <w:lang w:val="en-GB"/>
        </w:rPr>
      </w:pPr>
    </w:p>
    <w:p w14:paraId="0D6ED5C7" w14:textId="3542479A" w:rsidR="00406F96" w:rsidRPr="000932B8" w:rsidRDefault="00406F96" w:rsidP="00406F96">
      <w:pPr>
        <w:pStyle w:val="Copytext"/>
        <w:rPr>
          <w:lang w:val="en-GB"/>
        </w:rPr>
      </w:pPr>
      <w:r>
        <w:rPr>
          <w:bCs w:val="0"/>
          <w:lang w:val="en-GB"/>
        </w:rPr>
        <w:t>Not only wave movements</w:t>
      </w:r>
      <w:r w:rsidR="0021681C">
        <w:rPr>
          <w:bCs w:val="0"/>
          <w:lang w:val="en-GB"/>
        </w:rPr>
        <w:t xml:space="preserve"> </w:t>
      </w:r>
      <w:r>
        <w:rPr>
          <w:bCs w:val="0"/>
          <w:lang w:val="en-GB"/>
        </w:rPr>
        <w:t xml:space="preserve">but </w:t>
      </w:r>
      <w:r w:rsidR="00792A27">
        <w:rPr>
          <w:bCs w:val="0"/>
          <w:lang w:val="en-GB"/>
        </w:rPr>
        <w:t xml:space="preserve">– </w:t>
      </w:r>
      <w:r>
        <w:rPr>
          <w:bCs w:val="0"/>
          <w:lang w:val="en-GB"/>
        </w:rPr>
        <w:t xml:space="preserve">above all </w:t>
      </w:r>
      <w:r w:rsidR="00792A27">
        <w:rPr>
          <w:bCs w:val="0"/>
          <w:lang w:val="en-GB"/>
        </w:rPr>
        <w:t>–</w:t>
      </w:r>
      <w:r>
        <w:rPr>
          <w:bCs w:val="0"/>
          <w:lang w:val="en-GB"/>
        </w:rPr>
        <w:t xml:space="preserve"> vibrations from the ship’s engine cause severe damage to systems and components. Cooling compressors and other heavy components installed in cooling devices are subject to violent vibrations; for example, after a short time, refrigerant lines break and suspended objects are destroyed. The reason: Cooling units are generally not designed for dynamic applications but only for static ones. Compressors traditionally mounted with vibration dampeners to avoid disturbing sensitive equipment like spindles on machine tools in industrial operations may achieve precisely the opposite effect at sea and literally “swing about” and cause many other problems.</w:t>
      </w:r>
    </w:p>
    <w:p w14:paraId="700BFB99" w14:textId="77777777" w:rsidR="00406F96" w:rsidRPr="000932B8" w:rsidRDefault="00406F96" w:rsidP="00406F96">
      <w:pPr>
        <w:pStyle w:val="Copytext"/>
        <w:rPr>
          <w:lang w:val="en-GB"/>
        </w:rPr>
      </w:pPr>
    </w:p>
    <w:p w14:paraId="16C0014A" w14:textId="77777777" w:rsidR="00406F96" w:rsidRPr="000932B8" w:rsidRDefault="00406F96" w:rsidP="00406F96">
      <w:pPr>
        <w:pStyle w:val="Copytext"/>
        <w:rPr>
          <w:lang w:val="en-GB"/>
        </w:rPr>
      </w:pPr>
      <w:r>
        <w:rPr>
          <w:bCs w:val="0"/>
          <w:lang w:val="en-GB"/>
        </w:rPr>
        <w:t>That is why Rittal has adapted its Blue e+ series cooling units for maritime applications and made them suitable for use on the high seas. The devices were tested at Phoenix Testlab GmbH in Blomberg and DNV-certified. This also makes them interesting for dynamic applications on land – for example, use in crane systems or airport baggage handling systems.</w:t>
      </w:r>
    </w:p>
    <w:p w14:paraId="5EFE2C27" w14:textId="77777777" w:rsidR="00406F96" w:rsidRPr="000932B8" w:rsidRDefault="00406F96" w:rsidP="00406F96">
      <w:pPr>
        <w:pStyle w:val="Copytext"/>
        <w:rPr>
          <w:lang w:val="en-GB"/>
        </w:rPr>
      </w:pPr>
    </w:p>
    <w:p w14:paraId="57F0BDD1" w14:textId="77777777" w:rsidR="00406F96" w:rsidRPr="000932B8" w:rsidRDefault="00406F96" w:rsidP="00406F96">
      <w:pPr>
        <w:pStyle w:val="Copytext"/>
        <w:rPr>
          <w:b/>
          <w:bCs w:val="0"/>
          <w:lang w:val="en-GB"/>
        </w:rPr>
      </w:pPr>
      <w:r>
        <w:rPr>
          <w:b/>
          <w:lang w:val="en-GB"/>
        </w:rPr>
        <w:t>Numerous DNV tests</w:t>
      </w:r>
    </w:p>
    <w:p w14:paraId="49AED91C" w14:textId="74DE42FB" w:rsidR="00406F96" w:rsidRPr="000932B8" w:rsidRDefault="00406F96" w:rsidP="00406F96">
      <w:pPr>
        <w:pStyle w:val="Copytext"/>
        <w:rPr>
          <w:lang w:val="en-GB"/>
        </w:rPr>
      </w:pPr>
      <w:r>
        <w:rPr>
          <w:bCs w:val="0"/>
          <w:lang w:val="en-GB"/>
        </w:rPr>
        <w:t xml:space="preserve">A sine sweep test, in which a defined frequency spectrum was traversed, was first performed to test the vibration resistance. A broadband noise test over the entire frequency range then followed. The test piece was vibrated for 2.5 hours in each spatial axis, for a total of 7.5 hours. After the vibration test, the test pieces were </w:t>
      </w:r>
      <w:r>
        <w:rPr>
          <w:bCs w:val="0"/>
          <w:lang w:val="en-GB"/>
        </w:rPr>
        <w:lastRenderedPageBreak/>
        <w:t>placed in the climate chamber, where they were subjected to several temperature cycles, sometimes at high humidity. The inclination, in other words, the ship’s movement, was then simulated on another test bed. The final stage comprised EMC measurements, including interference emission and immunity tests.</w:t>
      </w:r>
    </w:p>
    <w:p w14:paraId="53CBED60" w14:textId="77777777" w:rsidR="00406F96" w:rsidRPr="000932B8" w:rsidRDefault="00406F96" w:rsidP="00406F96">
      <w:pPr>
        <w:pStyle w:val="Copytext"/>
        <w:rPr>
          <w:lang w:val="en-GB"/>
        </w:rPr>
      </w:pPr>
    </w:p>
    <w:p w14:paraId="515E4C6C" w14:textId="0DBC7BE4" w:rsidR="00406F96" w:rsidRPr="00406F96" w:rsidRDefault="00406F96" w:rsidP="00406F96">
      <w:pPr>
        <w:pStyle w:val="Copytext"/>
        <w:rPr>
          <w:lang w:val="en-GB"/>
        </w:rPr>
      </w:pPr>
      <w:r>
        <w:rPr>
          <w:bCs w:val="0"/>
          <w:lang w:val="en-GB"/>
        </w:rPr>
        <w:t>Devices in the output classes 1.0 and 1.6 kW and 2.0 and 2.6 kW were tested. The DNV-tested devices will go into series production as “Blue e+ dynamic” in early 2025. The cooling units have a very high energy efficiency with a Seasonal Energy Efficiency Ratio (SEER) of &gt;6.2.</w:t>
      </w:r>
    </w:p>
    <w:p w14:paraId="29A6AF31" w14:textId="17168860" w:rsidR="00406F96" w:rsidRPr="00406F96" w:rsidRDefault="00406F96" w:rsidP="00406F96">
      <w:pPr>
        <w:pStyle w:val="Copytext"/>
        <w:rPr>
          <w:lang w:val="en-GB"/>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406F96" w:rsidRPr="00E75B75" w14:paraId="01B403F8" w14:textId="77777777" w:rsidTr="00D23503">
        <w:trPr>
          <w:trHeight w:hRule="exact" w:val="2494"/>
        </w:trPr>
        <w:tc>
          <w:tcPr>
            <w:tcW w:w="3685" w:type="dxa"/>
            <w:tcMar>
              <w:left w:w="0" w:type="dxa"/>
              <w:right w:w="0" w:type="dxa"/>
            </w:tcMar>
            <w:vAlign w:val="bottom"/>
          </w:tcPr>
          <w:p w14:paraId="7A9BAA1D" w14:textId="567A88EA" w:rsidR="00406F96" w:rsidRPr="00406F96" w:rsidRDefault="00710F08" w:rsidP="00D23503">
            <w:pPr>
              <w:pStyle w:val="Copytext"/>
              <w:rPr>
                <w:lang w:val="en-GB"/>
              </w:rPr>
            </w:pPr>
            <w:r w:rsidRPr="00A7543A">
              <w:rPr>
                <w:noProof/>
              </w:rPr>
              <w:drawing>
                <wp:anchor distT="0" distB="0" distL="114300" distR="114300" simplePos="0" relativeHeight="251720704" behindDoc="1" locked="0" layoutInCell="1" allowOverlap="1" wp14:anchorId="18FA8C15" wp14:editId="2102EAD1">
                  <wp:simplePos x="0" y="0"/>
                  <wp:positionH relativeFrom="column">
                    <wp:posOffset>6985</wp:posOffset>
                  </wp:positionH>
                  <wp:positionV relativeFrom="paragraph">
                    <wp:posOffset>-1339215</wp:posOffset>
                  </wp:positionV>
                  <wp:extent cx="2203450" cy="1455420"/>
                  <wp:effectExtent l="0" t="0" r="6350" b="0"/>
                  <wp:wrapNone/>
                  <wp:docPr id="3325149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514933" name=""/>
                          <pic:cNvPicPr/>
                        </pic:nvPicPr>
                        <pic:blipFill>
                          <a:blip r:embed="rId8"/>
                          <a:stretch>
                            <a:fillRect/>
                          </a:stretch>
                        </pic:blipFill>
                        <pic:spPr>
                          <a:xfrm>
                            <a:off x="0" y="0"/>
                            <a:ext cx="2203450" cy="1455420"/>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40DA0708" w14:textId="77777777" w:rsidR="00406F96" w:rsidRPr="00406F96" w:rsidRDefault="00406F96" w:rsidP="00D23503">
            <w:pPr>
              <w:pStyle w:val="Copytext"/>
              <w:rPr>
                <w:lang w:val="en-GB"/>
              </w:rPr>
            </w:pPr>
          </w:p>
        </w:tc>
        <w:tc>
          <w:tcPr>
            <w:tcW w:w="3685" w:type="dxa"/>
            <w:tcMar>
              <w:left w:w="0" w:type="dxa"/>
              <w:right w:w="0" w:type="dxa"/>
            </w:tcMar>
          </w:tcPr>
          <w:p w14:paraId="074C9859" w14:textId="77777777" w:rsidR="00406F96" w:rsidRPr="00406F96" w:rsidRDefault="00406F96" w:rsidP="00D23503">
            <w:pPr>
              <w:pStyle w:val="Copytext"/>
              <w:rPr>
                <w:lang w:val="en-GB"/>
              </w:rPr>
            </w:pPr>
          </w:p>
          <w:p w14:paraId="207D4B07" w14:textId="77777777" w:rsidR="00406F96" w:rsidRPr="00406F96" w:rsidRDefault="00406F96" w:rsidP="00D23503">
            <w:pPr>
              <w:pStyle w:val="Copytext"/>
              <w:rPr>
                <w:lang w:val="en-GB"/>
              </w:rPr>
            </w:pPr>
          </w:p>
        </w:tc>
      </w:tr>
      <w:tr w:rsidR="00406F96" w:rsidRPr="00E75B75" w14:paraId="639C9B84" w14:textId="77777777" w:rsidTr="00D23503">
        <w:tc>
          <w:tcPr>
            <w:tcW w:w="3685" w:type="dxa"/>
            <w:tcMar>
              <w:left w:w="0" w:type="dxa"/>
              <w:right w:w="0" w:type="dxa"/>
            </w:tcMar>
          </w:tcPr>
          <w:p w14:paraId="7208EBF3" w14:textId="5F9F9C20" w:rsidR="00406F96" w:rsidRPr="00710F08" w:rsidRDefault="00406F96" w:rsidP="00D23503">
            <w:pPr>
              <w:pStyle w:val="BU-Head"/>
              <w:rPr>
                <w:lang w:val="en-US"/>
              </w:rPr>
            </w:pPr>
            <w:r>
              <w:rPr>
                <w:lang w:val="en-GB"/>
              </w:rPr>
              <w:t>Caption</w:t>
            </w:r>
            <w:r w:rsidR="00710F08">
              <w:rPr>
                <w:lang w:val="en-GB"/>
              </w:rPr>
              <w:br/>
            </w:r>
            <w:r w:rsidR="00710F08" w:rsidRPr="00710F08">
              <w:rPr>
                <w:b w:val="0"/>
                <w:bCs w:val="0"/>
                <w:lang w:val="en-US"/>
              </w:rPr>
              <w:t xml:space="preserve">For the first time, </w:t>
            </w:r>
            <w:r w:rsidR="00710F08">
              <w:rPr>
                <w:b w:val="0"/>
                <w:bCs w:val="0"/>
                <w:lang w:val="en-US"/>
              </w:rPr>
              <w:t>Rittal</w:t>
            </w:r>
            <w:r w:rsidR="00710F08" w:rsidRPr="00710F08">
              <w:rPr>
                <w:b w:val="0"/>
                <w:bCs w:val="0"/>
                <w:lang w:val="en-US"/>
              </w:rPr>
              <w:t xml:space="preserve"> now includes DNV-tested cooling units for maritime applications in its product portfolio under the name Blue e+ dynamic. In addition to the usual EMC compatibility testing for ships, the units’ vibration resistance and safe operation when tilted were also tested.</w:t>
            </w:r>
          </w:p>
          <w:p w14:paraId="44B8E315" w14:textId="77777777" w:rsidR="00406F96" w:rsidRPr="00A463E9" w:rsidRDefault="00406F96" w:rsidP="00D23503">
            <w:pPr>
              <w:pStyle w:val="BU"/>
              <w:rPr>
                <w:spacing w:val="-5"/>
                <w:lang w:val="en-US"/>
              </w:rPr>
            </w:pPr>
          </w:p>
          <w:p w14:paraId="3DBCD981" w14:textId="77777777" w:rsidR="00406F96" w:rsidRPr="00A463E9" w:rsidRDefault="00406F96" w:rsidP="00D23503">
            <w:pPr>
              <w:pStyle w:val="BU"/>
              <w:ind w:left="0"/>
              <w:rPr>
                <w:spacing w:val="-5"/>
                <w:lang w:val="en-US"/>
              </w:rPr>
            </w:pPr>
          </w:p>
        </w:tc>
        <w:tc>
          <w:tcPr>
            <w:tcW w:w="283" w:type="dxa"/>
            <w:tcMar>
              <w:left w:w="0" w:type="dxa"/>
              <w:right w:w="0" w:type="dxa"/>
            </w:tcMar>
          </w:tcPr>
          <w:p w14:paraId="10F0F8EA" w14:textId="77777777" w:rsidR="00406F96" w:rsidRPr="00A463E9" w:rsidRDefault="00406F96" w:rsidP="00D23503">
            <w:pPr>
              <w:pStyle w:val="Copytext"/>
              <w:rPr>
                <w:lang w:val="en-US"/>
              </w:rPr>
            </w:pPr>
          </w:p>
        </w:tc>
        <w:tc>
          <w:tcPr>
            <w:tcW w:w="3685" w:type="dxa"/>
            <w:tcMar>
              <w:left w:w="0" w:type="dxa"/>
              <w:right w:w="0" w:type="dxa"/>
            </w:tcMar>
          </w:tcPr>
          <w:p w14:paraId="527CC8F2" w14:textId="77777777" w:rsidR="00406F96" w:rsidRPr="00A463E9" w:rsidRDefault="00406F96" w:rsidP="00D23503">
            <w:pPr>
              <w:pStyle w:val="BU"/>
              <w:rPr>
                <w:lang w:val="en-US"/>
              </w:rPr>
            </w:pPr>
          </w:p>
          <w:p w14:paraId="1835D0EC" w14:textId="77777777" w:rsidR="00406F96" w:rsidRPr="00A463E9" w:rsidRDefault="00406F96" w:rsidP="00D23503">
            <w:pPr>
              <w:pStyle w:val="BU"/>
              <w:rPr>
                <w:lang w:val="en-US"/>
              </w:rPr>
            </w:pPr>
          </w:p>
        </w:tc>
      </w:tr>
    </w:tbl>
    <w:p w14:paraId="0A06F01F" w14:textId="44AA2C25" w:rsidR="00E75B75" w:rsidRDefault="00406F96" w:rsidP="00406F96">
      <w:pPr>
        <w:pStyle w:val="BU"/>
        <w:rPr>
          <w:bCs w:val="0"/>
          <w:lang w:val="en-GB"/>
        </w:rPr>
      </w:pPr>
      <w:r>
        <w:rPr>
          <w:bCs w:val="0"/>
          <w:lang w:val="en-GB"/>
        </w:rPr>
        <w:t>May be reproduced free of charge. Please name Rittal GmbH &amp; Co. KG as the source.</w:t>
      </w:r>
      <w:r w:rsidR="00E75B75">
        <w:rPr>
          <w:bCs w:val="0"/>
          <w:lang w:val="en-GB"/>
        </w:rPr>
        <w:br w:type="page"/>
      </w:r>
    </w:p>
    <w:p w14:paraId="5512201A" w14:textId="1FD89145" w:rsidR="0030636B" w:rsidRPr="00770261" w:rsidRDefault="00D80B69" w:rsidP="00D80B69">
      <w:pPr>
        <w:pStyle w:val="Unternehmensportrait-H1"/>
        <w:rPr>
          <w:lang w:val="en-GB"/>
        </w:rPr>
      </w:pPr>
      <w:r w:rsidRPr="00770261">
        <w:rPr>
          <w:lang w:val="en-GB"/>
        </w:rPr>
        <w:lastRenderedPageBreak/>
        <w:t>Rittal</w:t>
      </w:r>
    </w:p>
    <w:p w14:paraId="336656F8" w14:textId="77777777" w:rsidR="00C707D4" w:rsidRPr="00770261" w:rsidRDefault="00C707D4" w:rsidP="00D80B69">
      <w:pPr>
        <w:pStyle w:val="Unternehmensportrait-Linie"/>
        <w:rPr>
          <w:lang w:val="en-GB"/>
        </w:rPr>
      </w:pPr>
    </w:p>
    <w:p w14:paraId="2351F908"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1ACB5BAF" w14:textId="673F4998"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 xml:space="preserve">Our approach and methodology: </w:t>
      </w:r>
      <w:r w:rsidR="00160CC5" w:rsidRPr="00160CC5">
        <w:rPr>
          <w:bCs/>
          <w:color w:val="000000" w:themeColor="text1"/>
          <w:sz w:val="16"/>
          <w:szCs w:val="20"/>
          <w:lang w:val="en-GB"/>
        </w:rPr>
        <w:t>With their combined hardware and software expertise, Rittal, Rittal Software Systems (Eplan and Cideon) and Rittal Automation Systems (RAS, Ehrt, Alfra) optimize</w:t>
      </w:r>
      <w:r w:rsidR="00742A0E">
        <w:rPr>
          <w:bCs/>
          <w:color w:val="000000" w:themeColor="text1"/>
          <w:sz w:val="16"/>
          <w:szCs w:val="20"/>
          <w:lang w:val="en-GB"/>
        </w:rPr>
        <w:t>,</w:t>
      </w:r>
      <w:r w:rsidR="00160CC5" w:rsidRPr="00160CC5">
        <w:rPr>
          <w:bCs/>
          <w:color w:val="000000" w:themeColor="text1"/>
          <w:sz w:val="16"/>
          <w:szCs w:val="20"/>
          <w:lang w:val="en-GB"/>
        </w:rPr>
        <w:t xml:space="preserve"> digitize </w:t>
      </w:r>
      <w:r w:rsidR="00742A0E">
        <w:rPr>
          <w:bCs/>
          <w:color w:val="000000" w:themeColor="text1"/>
          <w:sz w:val="16"/>
          <w:szCs w:val="20"/>
          <w:lang w:val="en-GB"/>
        </w:rPr>
        <w:t xml:space="preserve">and automate </w:t>
      </w:r>
      <w:r w:rsidR="00160CC5" w:rsidRPr="00160CC5">
        <w:rPr>
          <w:bCs/>
          <w:color w:val="000000" w:themeColor="text1"/>
          <w:sz w:val="16"/>
          <w:szCs w:val="20"/>
          <w:lang w:val="en-GB"/>
        </w:rPr>
        <w:t>processes along the entire customer value chain, including the IT infrastructure – from panel building and switchgear manufacturing to mechanical engineering, factory operators and the energy sector.</w:t>
      </w:r>
    </w:p>
    <w:p w14:paraId="06890FC3"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Our delivery promise: Rittal standard products are delivered in Germany within 24 hours, and within 48 hours throughout Europe.</w:t>
      </w:r>
    </w:p>
    <w:p w14:paraId="532E4E62"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Customer focus</w:t>
      </w:r>
    </w:p>
    <w:p w14:paraId="3281D554"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39E1B52F" w14:textId="72203D36"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Eplan and Rittal are driving the development of the digital automation twin, making data accessible and useable in operations as well. Cideon is improving data consistency in the digital product twin context with its CAD/CAM, PDM/PLM and product configuration expertise.</w:t>
      </w:r>
    </w:p>
    <w:p w14:paraId="22F0925C"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Sustainability</w:t>
      </w:r>
    </w:p>
    <w:p w14:paraId="022B9570"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5D109E23"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Family business and global player</w:t>
      </w:r>
    </w:p>
    <w:p w14:paraId="618F8440" w14:textId="29179525"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Founded in 1961, Rittal is the largest company in the owner-operated Friedhelm Loh Group. The group operates worldwide, with 12 production sites and 95 international subsidiaries. It has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59D16C6E" w14:textId="77777777" w:rsidR="00770261" w:rsidRPr="00770261" w:rsidRDefault="00770261" w:rsidP="00770261">
      <w:pPr>
        <w:widowControl/>
        <w:kinsoku w:val="0"/>
        <w:overflowPunct w:val="0"/>
        <w:autoSpaceDE/>
        <w:autoSpaceDN/>
        <w:adjustRightInd/>
        <w:spacing w:line="200" w:lineRule="exact"/>
        <w:ind w:right="2098"/>
        <w:rPr>
          <w:bCs/>
          <w:color w:val="000000" w:themeColor="text1"/>
          <w:sz w:val="16"/>
          <w:szCs w:val="20"/>
          <w:lang w:val="en-GB"/>
        </w:rPr>
      </w:pPr>
      <w:r w:rsidRPr="00770261">
        <w:rPr>
          <w:bCs/>
          <w:color w:val="000000" w:themeColor="text1"/>
          <w:sz w:val="16"/>
          <w:szCs w:val="20"/>
          <w:lang w:val="en-GB"/>
        </w:rPr>
        <w:t xml:space="preserve">For more information, visit </w:t>
      </w:r>
      <w:hyperlink r:id="rId9" w:history="1">
        <w:r w:rsidRPr="00770261">
          <w:rPr>
            <w:bCs/>
            <w:color w:val="000000" w:themeColor="text1"/>
            <w:sz w:val="16"/>
            <w:szCs w:val="20"/>
            <w:lang w:val="en-GB"/>
          </w:rPr>
          <w:t>www.rittal.com</w:t>
        </w:r>
      </w:hyperlink>
      <w:r w:rsidRPr="00770261">
        <w:rPr>
          <w:bCs/>
          <w:color w:val="000000" w:themeColor="text1"/>
          <w:sz w:val="16"/>
          <w:szCs w:val="20"/>
          <w:lang w:val="en-GB"/>
        </w:rPr>
        <w:t xml:space="preserve"> and </w:t>
      </w:r>
      <w:hyperlink r:id="rId10" w:history="1">
        <w:r w:rsidRPr="00770261">
          <w:rPr>
            <w:bCs/>
            <w:color w:val="000000" w:themeColor="text1"/>
            <w:sz w:val="16"/>
            <w:szCs w:val="20"/>
            <w:lang w:val="en-GB"/>
          </w:rPr>
          <w:t>www.friedhelm-loh-group.com</w:t>
        </w:r>
      </w:hyperlink>
      <w:r w:rsidRPr="00770261">
        <w:rPr>
          <w:bCs/>
          <w:color w:val="000000" w:themeColor="text1"/>
          <w:sz w:val="16"/>
          <w:szCs w:val="20"/>
          <w:lang w:val="en-GB"/>
        </w:rPr>
        <w:t>.</w:t>
      </w:r>
    </w:p>
    <w:p w14:paraId="5239A85A" w14:textId="77777777" w:rsidR="00770261" w:rsidRPr="00770261" w:rsidRDefault="00770261" w:rsidP="00770261">
      <w:pPr>
        <w:widowControl/>
        <w:pBdr>
          <w:bottom w:val="single" w:sz="4" w:space="0" w:color="auto"/>
        </w:pBdr>
        <w:kinsoku w:val="0"/>
        <w:overflowPunct w:val="0"/>
        <w:autoSpaceDE/>
        <w:autoSpaceDN/>
        <w:adjustRightInd/>
        <w:spacing w:after="120" w:line="160" w:lineRule="exact"/>
        <w:ind w:left="28" w:right="2098"/>
        <w:rPr>
          <w:bCs/>
          <w:noProof/>
          <w:color w:val="000000" w:themeColor="text1"/>
          <w:sz w:val="16"/>
          <w:szCs w:val="16"/>
          <w:lang w:val="en-GB"/>
        </w:rPr>
      </w:pPr>
    </w:p>
    <w:p w14:paraId="50DFA63C" w14:textId="77777777" w:rsidR="0030636B" w:rsidRPr="00770261" w:rsidRDefault="0030636B" w:rsidP="00D80B69">
      <w:pPr>
        <w:pStyle w:val="Unternehmensportrait"/>
        <w:jc w:val="left"/>
        <w:rPr>
          <w:lang w:val="en-GB"/>
        </w:rPr>
      </w:pPr>
    </w:p>
    <w:p w14:paraId="2EF92E8E" w14:textId="0702EC2B" w:rsidR="009E3CD4" w:rsidRPr="00770261" w:rsidRDefault="0033402A" w:rsidP="00D80B69">
      <w:pPr>
        <w:pStyle w:val="Unternehmenkommunikation"/>
        <w:jc w:val="left"/>
        <w:rPr>
          <w:lang w:val="en-GB"/>
        </w:rPr>
      </w:pPr>
      <w:r w:rsidRPr="00770261">
        <w:rPr>
          <w:lang w:val="en-GB"/>
        </w:rPr>
        <w:t>Corporate Communications</w:t>
      </w:r>
    </w:p>
    <w:p w14:paraId="287BC080" w14:textId="77777777" w:rsidR="009E3CD4" w:rsidRPr="008E3C61" w:rsidRDefault="009E3CD4" w:rsidP="00D80B69">
      <w:pPr>
        <w:pStyle w:val="Unternehmenkommunikation"/>
        <w:jc w:val="left"/>
      </w:pPr>
      <w:r w:rsidRPr="00770261">
        <w:rPr>
          <w:lang w:val="en-GB"/>
        </w:rPr>
        <w:t>Dr. Carola Hilbrand</w:t>
      </w:r>
      <w:r w:rsidRPr="00770261">
        <w:rPr>
          <w:lang w:val="en-GB"/>
        </w:rPr>
        <w:tab/>
        <w:t xml:space="preserve">Rittal GmbH &amp; Co. </w:t>
      </w:r>
      <w:r w:rsidRPr="008E3C61">
        <w:t>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239C6796" w:rsidR="009E3CD4" w:rsidRPr="00770261" w:rsidRDefault="009E3CD4" w:rsidP="00D80B69">
      <w:pPr>
        <w:pStyle w:val="Unternehmenkommunikation"/>
        <w:jc w:val="left"/>
        <w:rPr>
          <w:color w:val="auto"/>
        </w:rPr>
      </w:pPr>
      <w:r>
        <w:t>hilbrand</w:t>
      </w:r>
      <w:r w:rsidRPr="00681C6A">
        <w:t>.</w:t>
      </w:r>
      <w:r>
        <w:t>c</w:t>
      </w:r>
      <w:r w:rsidRPr="00681C6A">
        <w:t>@rittal.de</w:t>
      </w:r>
      <w:r w:rsidRPr="00681C6A">
        <w:tab/>
      </w:r>
      <w:hyperlink r:id="rId11" w:history="1">
        <w:r w:rsidR="00F94098" w:rsidRPr="00770261">
          <w:rPr>
            <w:rStyle w:val="Hyperlink"/>
            <w:color w:val="auto"/>
            <w:u w:val="none"/>
          </w:rPr>
          <w:t>www.rittal.com</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39763639" w14:textId="53E24E0D" w:rsidR="00A73C13" w:rsidRPr="00770261" w:rsidRDefault="001E046B" w:rsidP="00770261">
      <w:pPr>
        <w:pStyle w:val="Unternehmensportrait"/>
        <w:jc w:val="left"/>
        <w:rPr>
          <w:noProof/>
          <w:spacing w:val="-4"/>
        </w:rPr>
      </w:pPr>
      <w:r>
        <w:rPr>
          <w:noProof/>
        </w:rPr>
        <w:drawing>
          <wp:anchor distT="0" distB="0" distL="114300" distR="114300" simplePos="0" relativeHeight="251716608" behindDoc="0" locked="0" layoutInCell="1" allowOverlap="1" wp14:anchorId="2EA4C228" wp14:editId="01B9348E">
            <wp:simplePos x="0" y="0"/>
            <wp:positionH relativeFrom="column">
              <wp:posOffset>888861</wp:posOffset>
            </wp:positionH>
            <wp:positionV relativeFrom="paragraph">
              <wp:posOffset>55880</wp:posOffset>
            </wp:positionV>
            <wp:extent cx="2042795" cy="253365"/>
            <wp:effectExtent l="0" t="0" r="0" b="0"/>
            <wp:wrapNone/>
            <wp:docPr id="1626301204"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2"/>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r>
      <w:r w:rsidR="0067568A">
        <w:rPr>
          <w:noProof/>
          <w:spacing w:val="-4"/>
        </w:rPr>
        <w:t>Follow us</w:t>
      </w:r>
      <w:r>
        <w:rPr>
          <w:noProof/>
          <w:spacing w:val="-4"/>
        </w:rPr>
        <w:t xml:space="preserve">: </w:t>
      </w:r>
    </w:p>
    <w:sectPr w:rsidR="00A73C13" w:rsidRPr="00770261" w:rsidSect="00F11D1D">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F7837" w14:textId="77777777" w:rsidR="00F11D1D" w:rsidRDefault="00F11D1D" w:rsidP="00C437B6">
      <w:r>
        <w:separator/>
      </w:r>
    </w:p>
  </w:endnote>
  <w:endnote w:type="continuationSeparator" w:id="0">
    <w:p w14:paraId="53AEE96F" w14:textId="77777777" w:rsidR="00F11D1D" w:rsidRDefault="00F11D1D"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6C5208F2" w:rsidR="00202595" w:rsidRDefault="00B53034">
    <w:pPr>
      <w:pStyle w:val="Fuzeile"/>
    </w:pPr>
    <w:r w:rsidRPr="006270D1">
      <w:rPr>
        <w:noProof/>
      </w:rPr>
      <w:drawing>
        <wp:anchor distT="0" distB="0" distL="0" distR="0" simplePos="0" relativeHeight="251657216" behindDoc="0" locked="0" layoutInCell="1" allowOverlap="0" wp14:anchorId="370ED1DB" wp14:editId="5CD92332">
          <wp:simplePos x="0" y="0"/>
          <wp:positionH relativeFrom="margin">
            <wp:posOffset>-967740</wp:posOffset>
          </wp:positionH>
          <wp:positionV relativeFrom="topMargin">
            <wp:posOffset>9783584</wp:posOffset>
          </wp:positionV>
          <wp:extent cx="7773670" cy="182880"/>
          <wp:effectExtent l="0" t="0" r="0" b="0"/>
          <wp:wrapThrough wrapText="bothSides">
            <wp:wrapPolygon edited="0">
              <wp:start x="0" y="0"/>
              <wp:lineTo x="0" y="19500"/>
              <wp:lineTo x="21561" y="19500"/>
              <wp:lineTo x="21561"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3670" cy="182880"/>
                  </a:xfrm>
                  <a:prstGeom prst="rect">
                    <a:avLst/>
                  </a:prstGeom>
                </pic:spPr>
              </pic:pic>
            </a:graphicData>
          </a:graphic>
          <wp14:sizeRelV relativeFrom="margin">
            <wp14:pctHeight>0</wp14:pctHeight>
          </wp14:sizeRelV>
        </wp:anchor>
      </w:drawing>
    </w:r>
    <w:r>
      <w:rPr>
        <w:noProof/>
        <w:szCs w:val="20"/>
      </w:rPr>
      <w:drawing>
        <wp:anchor distT="0" distB="0" distL="114300" distR="114300" simplePos="0" relativeHeight="251658240" behindDoc="1" locked="0" layoutInCell="1" allowOverlap="1" wp14:anchorId="6347FF42" wp14:editId="222E1FC1">
          <wp:simplePos x="0" y="0"/>
          <wp:positionH relativeFrom="page">
            <wp:posOffset>866140</wp:posOffset>
          </wp:positionH>
          <wp:positionV relativeFrom="page">
            <wp:posOffset>10275431</wp:posOffset>
          </wp:positionV>
          <wp:extent cx="1767840" cy="93345"/>
          <wp:effectExtent l="0" t="0" r="0" b="0"/>
          <wp:wrapNone/>
          <wp:docPr id="18" name="Bild 1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C13A3" w14:textId="77777777" w:rsidR="00F11D1D" w:rsidRDefault="00F11D1D" w:rsidP="00C437B6">
      <w:r>
        <w:separator/>
      </w:r>
    </w:p>
  </w:footnote>
  <w:footnote w:type="continuationSeparator" w:id="0">
    <w:p w14:paraId="04A28774" w14:textId="77777777" w:rsidR="00F11D1D" w:rsidRDefault="00F11D1D"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542FF7FD" w:rsidR="00202595" w:rsidRDefault="0011102D">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6192" behindDoc="1" locked="0" layoutInCell="1" allowOverlap="1" wp14:anchorId="4C9886F2" wp14:editId="127DD8DE">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BE3E0F">
      <w:rPr>
        <w:noProof/>
        <w:sz w:val="16"/>
        <w:szCs w:val="16"/>
      </w:rPr>
      <mc:AlternateContent>
        <mc:Choice Requires="wps">
          <w:drawing>
            <wp:anchor distT="0" distB="0" distL="114300" distR="114300" simplePos="0" relativeHeight="251659264" behindDoc="1" locked="0" layoutInCell="0" allowOverlap="1" wp14:anchorId="00F58628" wp14:editId="39142082">
              <wp:simplePos x="0" y="0"/>
              <wp:positionH relativeFrom="page">
                <wp:posOffset>864235</wp:posOffset>
              </wp:positionH>
              <wp:positionV relativeFrom="page">
                <wp:posOffset>449580</wp:posOffset>
              </wp:positionV>
              <wp:extent cx="1485900" cy="351790"/>
              <wp:effectExtent l="0" t="1905" r="2540" b="0"/>
              <wp:wrapNone/>
              <wp:docPr id="174955355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 Box 1" o:spid="_x0000_s1027" type="#_x0000_t202" style="position:absolute;margin-left:68.05pt;margin-top:35.4pt;width:117pt;height:27.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22489"/>
    <w:rsid w:val="00027B50"/>
    <w:rsid w:val="00034685"/>
    <w:rsid w:val="00037FD6"/>
    <w:rsid w:val="00047B15"/>
    <w:rsid w:val="00052DD2"/>
    <w:rsid w:val="00074F18"/>
    <w:rsid w:val="00080930"/>
    <w:rsid w:val="000902CE"/>
    <w:rsid w:val="000E7A2C"/>
    <w:rsid w:val="0011102D"/>
    <w:rsid w:val="00114302"/>
    <w:rsid w:val="00145F70"/>
    <w:rsid w:val="001519D2"/>
    <w:rsid w:val="00160CC5"/>
    <w:rsid w:val="001926CE"/>
    <w:rsid w:val="001B189F"/>
    <w:rsid w:val="001B7268"/>
    <w:rsid w:val="001D555B"/>
    <w:rsid w:val="001D6722"/>
    <w:rsid w:val="001E046B"/>
    <w:rsid w:val="001E78D8"/>
    <w:rsid w:val="002016FD"/>
    <w:rsid w:val="00202595"/>
    <w:rsid w:val="0021681C"/>
    <w:rsid w:val="0023718F"/>
    <w:rsid w:val="00274BBB"/>
    <w:rsid w:val="002C00E6"/>
    <w:rsid w:val="002C6615"/>
    <w:rsid w:val="002D2830"/>
    <w:rsid w:val="002E1F7F"/>
    <w:rsid w:val="0030636B"/>
    <w:rsid w:val="0031514E"/>
    <w:rsid w:val="0033402A"/>
    <w:rsid w:val="00367B14"/>
    <w:rsid w:val="00397E80"/>
    <w:rsid w:val="003A7EAF"/>
    <w:rsid w:val="003B12EF"/>
    <w:rsid w:val="003B413C"/>
    <w:rsid w:val="003C464D"/>
    <w:rsid w:val="00406F96"/>
    <w:rsid w:val="00424077"/>
    <w:rsid w:val="0042557E"/>
    <w:rsid w:val="004305EE"/>
    <w:rsid w:val="00445DA2"/>
    <w:rsid w:val="00454741"/>
    <w:rsid w:val="00455B4F"/>
    <w:rsid w:val="00456F1A"/>
    <w:rsid w:val="004643E3"/>
    <w:rsid w:val="004839D0"/>
    <w:rsid w:val="004845A9"/>
    <w:rsid w:val="004860F9"/>
    <w:rsid w:val="00486A98"/>
    <w:rsid w:val="004D56BD"/>
    <w:rsid w:val="004F229F"/>
    <w:rsid w:val="00512F78"/>
    <w:rsid w:val="00513BB5"/>
    <w:rsid w:val="00542350"/>
    <w:rsid w:val="005467FA"/>
    <w:rsid w:val="0055018D"/>
    <w:rsid w:val="00556081"/>
    <w:rsid w:val="0057573C"/>
    <w:rsid w:val="00584C14"/>
    <w:rsid w:val="005D33D3"/>
    <w:rsid w:val="005D7486"/>
    <w:rsid w:val="005F47D3"/>
    <w:rsid w:val="00613397"/>
    <w:rsid w:val="006270D1"/>
    <w:rsid w:val="006467B0"/>
    <w:rsid w:val="00650E38"/>
    <w:rsid w:val="00654F16"/>
    <w:rsid w:val="0067568A"/>
    <w:rsid w:val="00681C6A"/>
    <w:rsid w:val="006A2213"/>
    <w:rsid w:val="006C0224"/>
    <w:rsid w:val="006C2B8D"/>
    <w:rsid w:val="006C6990"/>
    <w:rsid w:val="006C7EF7"/>
    <w:rsid w:val="006D5EAA"/>
    <w:rsid w:val="006E6B91"/>
    <w:rsid w:val="00701182"/>
    <w:rsid w:val="00710F08"/>
    <w:rsid w:val="007315EA"/>
    <w:rsid w:val="007379AB"/>
    <w:rsid w:val="00742A0E"/>
    <w:rsid w:val="007568B6"/>
    <w:rsid w:val="00760BC1"/>
    <w:rsid w:val="00770261"/>
    <w:rsid w:val="00792A27"/>
    <w:rsid w:val="007C2C27"/>
    <w:rsid w:val="007D60A7"/>
    <w:rsid w:val="007D7AE2"/>
    <w:rsid w:val="00801528"/>
    <w:rsid w:val="00805E8F"/>
    <w:rsid w:val="00886E96"/>
    <w:rsid w:val="00895E52"/>
    <w:rsid w:val="009058E3"/>
    <w:rsid w:val="00947C4F"/>
    <w:rsid w:val="00996B25"/>
    <w:rsid w:val="009A0F9D"/>
    <w:rsid w:val="009D411D"/>
    <w:rsid w:val="009D709C"/>
    <w:rsid w:val="009E0DC3"/>
    <w:rsid w:val="009E3CD4"/>
    <w:rsid w:val="009E4D10"/>
    <w:rsid w:val="009F3123"/>
    <w:rsid w:val="00A0608C"/>
    <w:rsid w:val="00A23870"/>
    <w:rsid w:val="00A37B28"/>
    <w:rsid w:val="00A463E9"/>
    <w:rsid w:val="00A51035"/>
    <w:rsid w:val="00A51E5F"/>
    <w:rsid w:val="00A65D1F"/>
    <w:rsid w:val="00A66242"/>
    <w:rsid w:val="00A71BED"/>
    <w:rsid w:val="00A73C13"/>
    <w:rsid w:val="00A90FC3"/>
    <w:rsid w:val="00AA6300"/>
    <w:rsid w:val="00AA6A2B"/>
    <w:rsid w:val="00AC391D"/>
    <w:rsid w:val="00AD5C77"/>
    <w:rsid w:val="00B317B0"/>
    <w:rsid w:val="00B42CC3"/>
    <w:rsid w:val="00B5087C"/>
    <w:rsid w:val="00B53034"/>
    <w:rsid w:val="00B70890"/>
    <w:rsid w:val="00B75E7A"/>
    <w:rsid w:val="00B8089B"/>
    <w:rsid w:val="00B921A4"/>
    <w:rsid w:val="00B9325B"/>
    <w:rsid w:val="00BD1E6B"/>
    <w:rsid w:val="00BE3E0F"/>
    <w:rsid w:val="00C0410E"/>
    <w:rsid w:val="00C40907"/>
    <w:rsid w:val="00C437B6"/>
    <w:rsid w:val="00C707D4"/>
    <w:rsid w:val="00C7714F"/>
    <w:rsid w:val="00C85246"/>
    <w:rsid w:val="00C933FC"/>
    <w:rsid w:val="00C9738B"/>
    <w:rsid w:val="00CA28D3"/>
    <w:rsid w:val="00CB1B61"/>
    <w:rsid w:val="00CC229D"/>
    <w:rsid w:val="00CC3274"/>
    <w:rsid w:val="00CC57AA"/>
    <w:rsid w:val="00CD7C6C"/>
    <w:rsid w:val="00CF7702"/>
    <w:rsid w:val="00D02577"/>
    <w:rsid w:val="00D02D5B"/>
    <w:rsid w:val="00D0666B"/>
    <w:rsid w:val="00D109A1"/>
    <w:rsid w:val="00D205F9"/>
    <w:rsid w:val="00D2409E"/>
    <w:rsid w:val="00D80B69"/>
    <w:rsid w:val="00D92FEF"/>
    <w:rsid w:val="00DA0AC1"/>
    <w:rsid w:val="00DA78A6"/>
    <w:rsid w:val="00DC7953"/>
    <w:rsid w:val="00DC7BEC"/>
    <w:rsid w:val="00DD48DF"/>
    <w:rsid w:val="00DF3CF6"/>
    <w:rsid w:val="00E02D8D"/>
    <w:rsid w:val="00E4364C"/>
    <w:rsid w:val="00E43B92"/>
    <w:rsid w:val="00E46942"/>
    <w:rsid w:val="00E75B75"/>
    <w:rsid w:val="00EB1ED8"/>
    <w:rsid w:val="00ED3D20"/>
    <w:rsid w:val="00EE2E8D"/>
    <w:rsid w:val="00EE437A"/>
    <w:rsid w:val="00F11D1D"/>
    <w:rsid w:val="00F34793"/>
    <w:rsid w:val="00F46C85"/>
    <w:rsid w:val="00F53B77"/>
    <w:rsid w:val="00F56180"/>
    <w:rsid w:val="00F61379"/>
    <w:rsid w:val="00F90E37"/>
    <w:rsid w:val="00F94098"/>
    <w:rsid w:val="00FB1403"/>
    <w:rsid w:val="00FC3A8C"/>
    <w:rsid w:val="00FD4CFC"/>
    <w:rsid w:val="00FE5478"/>
    <w:rsid w:val="00FF5C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Default">
    <w:name w:val="Default"/>
    <w:rsid w:val="00542350"/>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542350"/>
    <w:rPr>
      <w:color w:val="605E5C"/>
      <w:shd w:val="clear" w:color="auto" w:fill="E1DFDD"/>
    </w:rPr>
  </w:style>
  <w:style w:type="character" w:styleId="BesuchterLink">
    <w:name w:val="FollowedHyperlink"/>
    <w:basedOn w:val="Absatz-Standardschriftart"/>
    <w:uiPriority w:val="99"/>
    <w:semiHidden/>
    <w:unhideWhenUsed/>
    <w:rsid w:val="00A37B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tt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riedhelm-loh-group.com" TargetMode="External"/><Relationship Id="rId4" Type="http://schemas.openxmlformats.org/officeDocument/2006/relationships/settings" Target="settings.xml"/><Relationship Id="rId9" Type="http://schemas.openxmlformats.org/officeDocument/2006/relationships/hyperlink" Target="http://www.rittal.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5175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Hannah Kathrine Weber</cp:lastModifiedBy>
  <cp:revision>11</cp:revision>
  <cp:lastPrinted>2024-01-28T14:20:00Z</cp:lastPrinted>
  <dcterms:created xsi:type="dcterms:W3CDTF">2024-10-29T11:45:00Z</dcterms:created>
  <dcterms:modified xsi:type="dcterms:W3CDTF">2024-11-06T12:23:00Z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ies>
</file>